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6abb" w14:textId="b3b6abb">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31</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15/07/2019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21/07/2019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(15/07)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UBTVQH lần thứ 35 về hai dự án Luật sửa đổi-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sơ kết ĐU Bộ 6 tháng đầu năm 2019</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Dự phiên họp 35 của UBTVQH về Luật sđbs Luật CBCC, Luật Viên chức (Vụ 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Sơ kết 6 tháng đầu năm 2019 Đảng ủy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thứ 35 của UBTVQH cho ý kiến về dự án Luật sửa đổi, bổ sung Luật Tổ chức Chính phủ và Luật Tổ chức  chính quyền địa phương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35 của Ủy ban Thường vụ Quốc hội- Địa điểm:  Tòa nhà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họp sơ kết công tác Đảng 6 tháng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Công tác tại tỉnh Vĩnh Phúc</w:t>
            </w:r>
          </w:p>
        </w:tc>
      </w:tr>
      <w:tr>
        <w:tc>
          <w:tcPr>
            <w:tcW w:type="dxa"/>
            <w:vMerge w:val="restart"/>
            <w:vAlign w:val="center"/>
          </w:tcPr>
          <w:p>
            <w:pPr>
              <w:jc w:val="center"/>
            </w:pPr>
            <w:r>
              <w:rPr>
                <w:rFonts w:ascii="Times New Roman" w:hAnsi="Times New Roman" w:eastAsia="Times New Roman" w:cs="Times New Roman"/>
                <w:b w:val="true"/>
                <w:sz w:val="27"/>
              </w:rPr>
              <w:t>Thứ ba (16/07)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nghị trực tuyến sơ kết công tác 6 tháng đầu năm 2019 ngành Nội vụ- Địa điểm:  Trụ sở Bộ</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r>
              <w:rPr>
                <w:rFonts w:ascii="Times New Roman" w:hAnsi="Times New Roman" w:eastAsia="Times New Roman" w:cs="Times New Roman"/>
                <w:b w:val="true"/>
                <w:sz w:val="27"/>
              </w:rPr>
              <w:t>16h30</w:t>
            </w:r>
            <w:r>
              <w:rPr>
                <w:rFonts w:ascii="Times New Roman" w:hAnsi="Times New Roman" w:eastAsia="Times New Roman" w:cs="Times New Roman"/>
                <w:sz w:val="27"/>
              </w:rPr>
              <w:t>: Họp UBTVQH lần thứ 35- Địa điểm: Tòa nhà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trực tuyến sơ kết công tác ngành Nội vụ 6 tháng đầu năm 2019 tại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Vụ CCVC, Viện KHTCNN tại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UB giáo dục thanh thiếu niên của Quốc hội về Dự án Luật Thanh niên (sửa đổi) tại TP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UB giáo dục thanh thiếu niên của Quốc hội về Dự án Luật Thanh niên (sửa đổi) tại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trực tuyến sơ kết công tác 6 tháng đầu năm ngành Nội vụ</w:t>
            </w:r>
            <w:r>
              <w:br/>
            </w:r>
            <w:r>
              <w:rPr>
                <w:rFonts w:ascii="Times New Roman" w:hAnsi="Times New Roman" w:eastAsia="Times New Roman" w:cs="Times New Roman"/>
                <w:b w:val="true"/>
                <w:sz w:val="27"/>
              </w:rPr>
              <w:t>10h00</w:t>
            </w:r>
            <w:r>
              <w:rPr>
                <w:rFonts w:ascii="Times New Roman" w:hAnsi="Times New Roman" w:eastAsia="Times New Roman" w:cs="Times New Roman"/>
                <w:sz w:val="27"/>
              </w:rPr>
              <w:t>: Dự Phiên họp thứ 35 của Ủy ban Thường vụ Quốc hội- Địa điểm:  Tòa nhà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nghị trực tuyến sơ kết công tác 6 tháng đầu năm 2019 ngành Nội vụ (Trụ sở Bộ)</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tư (17/07)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lễ công bố QĐ thành lập Ban Chỉ đạo, Tổ biên tập xây dựng Đề án Chiến lược quốc gia trọng dụng nhân tài và Hội thảo khoa học Chiến lược thu hút trọng dụng nhân tài trong khu vực công-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Ban Dân vận Trung ương-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Hội thảo ĐA thu hút, trọng dụng nhân tài tại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Thủ tướng Chính phủ chủ trì về tổ chức, hoạt động của Ủy ban quản lý vốn nhà nước tại doanh nghiệp- Địa điểm:  Văn phòng Chính phủ</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lễ công bố QĐ thành lập Ban Chỉ đạo, Tổ biên tập xây dựng Đề án Chiến lược quốc gia trọng dụng nhân tài và Hội thảo khoa học Chiến lược thu hút trọng dụng nhân tài trong khu vực công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Ban Dân vận Trung ương (Trụ sở Bộ)</w:t>
            </w:r>
          </w:p>
        </w:tc>
      </w:tr>
      <w:tr>
        <w:tc>
          <w:tcPr>
            <w:tcW w:type="dxa"/>
            <w:vMerge w:val="restart"/>
            <w:vAlign w:val="center"/>
          </w:tcPr>
          <w:p>
            <w:pPr>
              <w:jc w:val="center"/>
            </w:pPr>
            <w:r>
              <w:rPr>
                <w:rFonts w:ascii="Times New Roman" w:hAnsi="Times New Roman" w:eastAsia="Times New Roman" w:cs="Times New Roman"/>
                <w:b w:val="true"/>
                <w:sz w:val="27"/>
              </w:rPr>
              <w:t>Thứ năm (18/07)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LĐ Ban Tổ chức TW- Địa điểm: Tại Ban TCTW</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L/v với các đơn vị về chỉ số CCHC của Bộ (Vụ TCCB cbi nội dung, mời)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với LĐ UBND TP Hồ Chí Minh vv sắp xếp các ĐVHC cấp huyện, cấp xã tại trụ sở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UBTV Quốc hội về Chương trình xây dựng luật, pháp lệnh năm 2020- Địa điểm:  Nhà Quốc hội</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tại Ban Tổ chức Trung ương</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sáu (19/07)</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L/v với Vụ CCHC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Khảo sát sắp xếp các ĐVHC cấp huyện, cấp xã tại tỉnh Quảng Bình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Khảo sát sắp xếp các ĐVHC cấp huyện, cấp xã tại tỉnh Quảng Bình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 tỉnh Lào Cai (Đoàn công tác của Thủ tướng Chính phủ)-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BCĐ xây dựng Chương trình quốc gia về ĐTBD CB trong hệ thống chính trị (Ban TCTW)</w:t>
            </w:r>
          </w:p>
        </w:tc>
      </w:tr>
      <w:tr>
        <w:tc>
          <w:tcPr>
            <w:tcW w:type="dxa"/>
            <w:vMerge w:val="restart"/>
            <w:vAlign w:val="center"/>
          </w:tcPr>
          <w:p>
            <w:pPr>
              <w:jc w:val="center"/>
            </w:pPr>
            <w:r>
              <w:rPr>
                <w:rFonts w:ascii="Times New Roman" w:hAnsi="Times New Roman" w:eastAsia="Times New Roman" w:cs="Times New Roman"/>
                <w:b w:val="true"/>
                <w:sz w:val="27"/>
              </w:rPr>
              <w:t>Thứ bảy (20/07)</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công tác của PTT Trương Hòa Bình l/v với tỉnh Sơn La về công tác CCHC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L/v với UBND tỉnh Sơn La về công tác CCHC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Khảo sát sắp xếp các ĐVHC cấp huyện, cấp xã tại tỉnh Quảng Bình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Khảo sát sắp xếp các ĐVHC cấp huyện, cấp xã tại tỉnh Quảng Bình</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